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EEF" w:rsidRPr="00061EEF" w:rsidRDefault="00061EEF" w:rsidP="00061EEF">
      <w:pPr>
        <w:shd w:val="clear" w:color="auto" w:fill="FFFFFF"/>
        <w:spacing w:after="0" w:line="276" w:lineRule="atLeast"/>
        <w:ind w:left="-851" w:right="468"/>
        <w:textAlignment w:val="baseline"/>
        <w:outlineLvl w:val="2"/>
        <w:rPr>
          <w:b/>
          <w:sz w:val="32"/>
          <w:szCs w:val="32"/>
          <w:shd w:val="clear" w:color="auto" w:fill="FFFFFF"/>
        </w:rPr>
      </w:pPr>
      <w:r w:rsidRPr="00061EEF">
        <w:rPr>
          <w:b/>
          <w:sz w:val="32"/>
          <w:szCs w:val="32"/>
          <w:shd w:val="clear" w:color="auto" w:fill="FFFFFF"/>
        </w:rPr>
        <w:t>Κύριες παρεμβάσεις που πρέπει να γίνουν στην κωδικοποίηση του σχεδίου λογαριασμών του Ε.Γ.Λ.Σ. για την προσαρμογή του στις απαιτήσεις του Ν. 4308/2014, εφόσον προκριθεί η τήρησή του από τις οντότητες όπως προτάθηκαν από τους συντάκτες του νόμου</w:t>
      </w:r>
    </w:p>
    <w:p w:rsidR="00061EEF" w:rsidRPr="00061EEF" w:rsidRDefault="006956A5" w:rsidP="00061EEF">
      <w:pPr>
        <w:pStyle w:val="style4"/>
        <w:ind w:left="-851"/>
        <w:rPr>
          <w:b/>
          <w:sz w:val="28"/>
          <w:szCs w:val="28"/>
        </w:rPr>
      </w:pPr>
      <w:r>
        <w:rPr>
          <w:b/>
          <w:sz w:val="28"/>
          <w:szCs w:val="28"/>
        </w:rPr>
        <w:t>α</w:t>
      </w:r>
      <w:r w:rsidR="00061EEF" w:rsidRPr="00061EEF">
        <w:rPr>
          <w:b/>
          <w:sz w:val="28"/>
          <w:szCs w:val="28"/>
        </w:rPr>
        <w:t xml:space="preserve">) Βασικές αλλαγές στους Λογαριασμούς </w:t>
      </w:r>
      <w:r>
        <w:rPr>
          <w:b/>
          <w:sz w:val="28"/>
          <w:szCs w:val="28"/>
        </w:rPr>
        <w:t>προβλέψεων</w:t>
      </w:r>
    </w:p>
    <w:p w:rsidR="00061EEF" w:rsidRDefault="006956A5" w:rsidP="00061EEF">
      <w:pPr>
        <w:pStyle w:val="style2"/>
        <w:ind w:left="-851"/>
      </w:pPr>
      <w:r>
        <w:rPr>
          <w:b/>
        </w:rPr>
        <w:t>1</w:t>
      </w:r>
      <w:r w:rsidR="00061EEF">
        <w:rPr>
          <w:b/>
        </w:rPr>
        <w:t>.</w:t>
      </w:r>
      <w:r w:rsidR="00061EEF">
        <w:t xml:space="preserve"> Οι προβλέψεις «απαξίωσης και υποτίμησης» περιουσιακών στοιχείων ως στοι</w:t>
      </w:r>
      <w:r w:rsidR="00061EEF">
        <w:softHyphen/>
        <w:t>χείο του ισολογισμού παρακολουθούνται εφεξής εντός του αντίστοιχου λογα</w:t>
      </w:r>
      <w:r w:rsidR="00061EEF">
        <w:softHyphen/>
        <w:t>ριασμού του ενεργητικού με τη χρήση αντίθετου, και όχι στις προβλέψεις του λογαριασμού 44 στο παθητικό.</w:t>
      </w:r>
    </w:p>
    <w:p w:rsidR="00061EEF" w:rsidRPr="00061EEF" w:rsidRDefault="006956A5" w:rsidP="00061EEF">
      <w:pPr>
        <w:pStyle w:val="style2"/>
        <w:ind w:left="-851"/>
        <w:jc w:val="both"/>
        <w:rPr>
          <w:b/>
          <w:sz w:val="28"/>
          <w:szCs w:val="28"/>
        </w:rPr>
      </w:pPr>
      <w:r>
        <w:rPr>
          <w:b/>
          <w:sz w:val="28"/>
          <w:szCs w:val="28"/>
        </w:rPr>
        <w:t>β</w:t>
      </w:r>
      <w:r w:rsidR="00061EEF" w:rsidRPr="00061EEF">
        <w:rPr>
          <w:b/>
          <w:sz w:val="28"/>
          <w:szCs w:val="28"/>
        </w:rPr>
        <w:t>) Βασικές αλλαγές στους αποτελεσματικούς λογαριασμούς</w:t>
      </w:r>
    </w:p>
    <w:p w:rsidR="00061EEF" w:rsidRDefault="00061EEF" w:rsidP="00061EEF">
      <w:pPr>
        <w:pStyle w:val="style4"/>
        <w:ind w:left="-851"/>
      </w:pPr>
      <w:r>
        <w:rPr>
          <w:b/>
        </w:rPr>
        <w:t>1.</w:t>
      </w:r>
      <w:r>
        <w:t> Το σύνολο των δαπανών για πάσης φύσεως παροχές προς εργαζόμενους σε αντάλλαγμα για παρεχόμενες υπηρεσίες παρακολουθείται στο λογαριασμό 60 «Παροχές σε εργαζόμενους», ανεξαρτήτως της νομικής φύσης της σχέσης ερ</w:t>
      </w:r>
      <w:r>
        <w:softHyphen/>
        <w:t>γαζόμενου - οντότητας, της ασφαλιστικής κάλυψης ή του τρόπου με τον οποίο φορολογείται η παροχή. Αυτό συνεπάγεται, ότι μεταφέρονται στον λογαριασμό 60 τα πάσης φύσεως ποσά που αφορούν παροχές σε εργαζόμενους και σε μέλη της διοίκησης, και τα οποία στο πλαίσιο του Ε.Γ.Λ.Σ. εμφανίζονταν κατά πε</w:t>
      </w:r>
      <w:r>
        <w:softHyphen/>
        <w:t>ρίπτωση είτε ως διανομή κερδών (λογαριασμός 88) είτε ως αμοιβές τρίτων (λογαριασμός 61.01.00). Σημειώνεται, ότι ακόμη και ποσά του λογαριασμού 62 «Παροχές τρίτων» που αφορούν στην ουσία μέρος του συνολικού κόστους των αμοιβών στο προσωπικό (π.χ. ενοίκια μεταφορικών μέσων που παρέχονται σε εργαζόμενους) ενδείκνυται να μεταφερθούν στο λογαριασμό 60. Σε κάθε περί</w:t>
      </w:r>
      <w:r>
        <w:softHyphen/>
        <w:t>πτωση τα σχετικά ποσά πρέπει να ενσωματωθούν στα αντίστοιχα κονδύλια των χρηματοοικονομικών καταστάσεων.</w:t>
      </w:r>
    </w:p>
    <w:p w:rsidR="00061EEF" w:rsidRDefault="006956A5" w:rsidP="00061EEF">
      <w:pPr>
        <w:pStyle w:val="style4"/>
        <w:ind w:left="-851"/>
      </w:pPr>
      <w:r>
        <w:rPr>
          <w:b/>
        </w:rPr>
        <w:t>2</w:t>
      </w:r>
      <w:r w:rsidR="00061EEF">
        <w:rPr>
          <w:b/>
        </w:rPr>
        <w:t>.</w:t>
      </w:r>
      <w:r w:rsidR="00061EEF">
        <w:t> Οι ζημιές απομείωσης των πάσης φύσεως περιουσιακών στοιχείων, καθώς κα τα τυχόντα κέρδη από αναστροφή τους, παρακολουθούνται εφεξής στο λογαριασμό 68 του Ε.Γ.Λ.Σ., ο οποίος εκκαθαρίζεται και χρησιμοποιείται αποκλειστικά για αυτό το σκοπό. Εφεξής, καταργούνται οι αποτελεσματικοί λογαριασμοί στους οποίους παρακολουθούνταν τα σχετικά ποσά στα πλαίσια του Ε.Γ.Λ.Σ (64.11 «Διαφορές αποτιμήσεως συμμετοχών και χρεογράφων» και 83.10 «Προβλέψεις απαξιώσεων και υποτιμήσεων πάγιων στοιχείων».</w:t>
      </w:r>
    </w:p>
    <w:p w:rsidR="00061EEF" w:rsidRDefault="006956A5" w:rsidP="00061EEF">
      <w:pPr>
        <w:pStyle w:val="style4"/>
        <w:ind w:left="-851"/>
      </w:pPr>
      <w:r>
        <w:rPr>
          <w:b/>
        </w:rPr>
        <w:t>3</w:t>
      </w:r>
      <w:r w:rsidR="00061EEF">
        <w:rPr>
          <w:b/>
        </w:rPr>
        <w:t>.</w:t>
      </w:r>
      <w:r w:rsidR="00061EEF">
        <w:t> Οι προβλέψεις που αφορούν έξοδα, π.χ. «Προβλέψεις για αποζημίωση προ</w:t>
      </w:r>
      <w:r w:rsidR="00061EEF">
        <w:softHyphen/>
        <w:t>σωπικού λόγω εξόδου από την υπηρεσία», εφεξής παρακολουθούνται στον σχετικό πρωτοβάθμιο λογαριασμό εξόδου της ομάδας 6. Εναλλακτικά, για την παρακολούθηση των προβλέψεων χρησιμοποιείται ο αναμορφωμένος λογα</w:t>
      </w:r>
      <w:r w:rsidR="00061EEF">
        <w:softHyphen/>
        <w:t>ριασμός 83 «Προβλέψεις» (προηγούμενος τίτλος «Προβλέψεις για εκτάκτους κινδύνους») της ομάδας 8.</w:t>
      </w:r>
      <w:bookmarkStart w:id="0" w:name="_GoBack"/>
      <w:bookmarkEnd w:id="0"/>
    </w:p>
    <w:sectPr w:rsidR="00061EE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EEF"/>
    <w:rsid w:val="00061EEF"/>
    <w:rsid w:val="006956A5"/>
    <w:rsid w:val="006C79F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EEF"/>
    <w:pPr>
      <w:spacing w:after="120" w:line="360" w:lineRule="auto"/>
      <w:jc w:val="both"/>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061EEF"/>
    <w:rPr>
      <w:color w:val="0000FF"/>
      <w:u w:val="single"/>
    </w:rPr>
  </w:style>
  <w:style w:type="paragraph" w:customStyle="1" w:styleId="style6">
    <w:name w:val="style6"/>
    <w:basedOn w:val="a"/>
    <w:uiPriority w:val="99"/>
    <w:rsid w:val="00061EEF"/>
    <w:pPr>
      <w:spacing w:before="100" w:beforeAutospacing="1" w:after="100" w:afterAutospacing="1" w:line="240" w:lineRule="auto"/>
      <w:jc w:val="left"/>
    </w:pPr>
  </w:style>
  <w:style w:type="paragraph" w:customStyle="1" w:styleId="style2">
    <w:name w:val="style2"/>
    <w:basedOn w:val="a"/>
    <w:uiPriority w:val="99"/>
    <w:rsid w:val="00061EEF"/>
    <w:pPr>
      <w:spacing w:before="100" w:beforeAutospacing="1" w:after="100" w:afterAutospacing="1" w:line="240" w:lineRule="auto"/>
      <w:jc w:val="left"/>
    </w:pPr>
  </w:style>
  <w:style w:type="paragraph" w:customStyle="1" w:styleId="style3">
    <w:name w:val="style3"/>
    <w:basedOn w:val="a"/>
    <w:uiPriority w:val="99"/>
    <w:rsid w:val="00061EEF"/>
    <w:pPr>
      <w:spacing w:before="100" w:beforeAutospacing="1" w:after="100" w:afterAutospacing="1" w:line="240" w:lineRule="auto"/>
      <w:jc w:val="left"/>
    </w:pPr>
  </w:style>
  <w:style w:type="paragraph" w:customStyle="1" w:styleId="style4">
    <w:name w:val="style4"/>
    <w:basedOn w:val="a"/>
    <w:uiPriority w:val="99"/>
    <w:rsid w:val="00061EEF"/>
    <w:pPr>
      <w:spacing w:before="100" w:beforeAutospacing="1" w:after="100" w:afterAutospacing="1" w:line="240" w:lineRule="auto"/>
      <w:jc w:val="left"/>
    </w:pPr>
  </w:style>
  <w:style w:type="paragraph" w:customStyle="1" w:styleId="style5">
    <w:name w:val="style5"/>
    <w:basedOn w:val="a"/>
    <w:uiPriority w:val="99"/>
    <w:rsid w:val="00061EEF"/>
    <w:pPr>
      <w:spacing w:before="100" w:beforeAutospacing="1" w:after="100" w:afterAutospacing="1" w:line="240" w:lineRule="auto"/>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EEF"/>
    <w:pPr>
      <w:spacing w:after="120" w:line="360" w:lineRule="auto"/>
      <w:jc w:val="both"/>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061EEF"/>
    <w:rPr>
      <w:color w:val="0000FF"/>
      <w:u w:val="single"/>
    </w:rPr>
  </w:style>
  <w:style w:type="paragraph" w:customStyle="1" w:styleId="style6">
    <w:name w:val="style6"/>
    <w:basedOn w:val="a"/>
    <w:uiPriority w:val="99"/>
    <w:rsid w:val="00061EEF"/>
    <w:pPr>
      <w:spacing w:before="100" w:beforeAutospacing="1" w:after="100" w:afterAutospacing="1" w:line="240" w:lineRule="auto"/>
      <w:jc w:val="left"/>
    </w:pPr>
  </w:style>
  <w:style w:type="paragraph" w:customStyle="1" w:styleId="style2">
    <w:name w:val="style2"/>
    <w:basedOn w:val="a"/>
    <w:uiPriority w:val="99"/>
    <w:rsid w:val="00061EEF"/>
    <w:pPr>
      <w:spacing w:before="100" w:beforeAutospacing="1" w:after="100" w:afterAutospacing="1" w:line="240" w:lineRule="auto"/>
      <w:jc w:val="left"/>
    </w:pPr>
  </w:style>
  <w:style w:type="paragraph" w:customStyle="1" w:styleId="style3">
    <w:name w:val="style3"/>
    <w:basedOn w:val="a"/>
    <w:uiPriority w:val="99"/>
    <w:rsid w:val="00061EEF"/>
    <w:pPr>
      <w:spacing w:before="100" w:beforeAutospacing="1" w:after="100" w:afterAutospacing="1" w:line="240" w:lineRule="auto"/>
      <w:jc w:val="left"/>
    </w:pPr>
  </w:style>
  <w:style w:type="paragraph" w:customStyle="1" w:styleId="style4">
    <w:name w:val="style4"/>
    <w:basedOn w:val="a"/>
    <w:uiPriority w:val="99"/>
    <w:rsid w:val="00061EEF"/>
    <w:pPr>
      <w:spacing w:before="100" w:beforeAutospacing="1" w:after="100" w:afterAutospacing="1" w:line="240" w:lineRule="auto"/>
      <w:jc w:val="left"/>
    </w:pPr>
  </w:style>
  <w:style w:type="paragraph" w:customStyle="1" w:styleId="style5">
    <w:name w:val="style5"/>
    <w:basedOn w:val="a"/>
    <w:uiPriority w:val="99"/>
    <w:rsid w:val="00061EEF"/>
    <w:pPr>
      <w:spacing w:before="100" w:beforeAutospacing="1" w:after="100" w:afterAutospacing="1"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79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381</Words>
  <Characters>2059</Characters>
  <Application>Microsoft Office Word</Application>
  <DocSecurity>0</DocSecurity>
  <Lines>17</Lines>
  <Paragraphs>4</Paragraphs>
  <ScaleCrop>false</ScaleCrop>
  <Company>Hewlett-Packard Company</Company>
  <LinksUpToDate>false</LinksUpToDate>
  <CharactersWithSpaces>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2</cp:revision>
  <dcterms:created xsi:type="dcterms:W3CDTF">2017-02-15T05:56:00Z</dcterms:created>
  <dcterms:modified xsi:type="dcterms:W3CDTF">2017-02-25T17:03:00Z</dcterms:modified>
</cp:coreProperties>
</file>